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sz w:val="24"/>
        </w:rPr>
        <w:t>CỘNG HÒA XÃ HỘI CHỦ NGHĨA VIỆT NAM</w:t>
      </w:r>
    </w:p>
    <w:p>
      <w:pPr>
        <w:jc w:val="center"/>
      </w:pPr>
      <w:r>
        <w:rPr>
          <w:rFonts w:ascii="Times New Roman" w:hAnsi="Times New Roman" w:eastAsia="Times New Roman"/>
          <w:b/>
          <w:sz w:val="22"/>
        </w:rPr>
        <w:t>Độc lập - Tự do - Hạnh phúc</w:t>
      </w:r>
    </w:p>
    <w:p>
      <w:pPr>
        <w:jc w:val="center"/>
      </w:pPr>
      <w:r>
        <w:rPr>
          <w:rFonts w:ascii="Times New Roman" w:hAnsi="Times New Roman" w:eastAsia="Times New Roman"/>
          <w:b/>
          <w:sz w:val="32"/>
        </w:rPr>
        <w:t>HỢP ĐỒNG HỢP TÁC KINH DOANH</w:t>
      </w:r>
    </w:p>
    <w:p>
      <w:pPr>
        <w:jc w:val="center"/>
      </w:pPr>
      <w:r>
        <w:rPr>
          <w:rFonts w:ascii="Times New Roman" w:hAnsi="Times New Roman" w:eastAsia="Times New Roman"/>
          <w:sz w:val="22"/>
        </w:rPr>
        <w:t>(Giữa hai cá nhân – mô hình hợp tác mở và vận hành nhà hàng)</w:t>
      </w:r>
    </w:p>
    <w:p>
      <w:pPr>
        <w:spacing w:after="60" w:line="252" w:lineRule="auto"/>
      </w:pPr>
      <w:r>
        <w:rPr>
          <w:rFonts w:ascii="Times New Roman" w:hAnsi="Times New Roman" w:eastAsia="Times New Roman"/>
          <w:sz w:val="22"/>
        </w:rPr>
        <w:t>Số: [●]/2026/HĐHTKD</w:t>
      </w:r>
    </w:p>
    <w:p>
      <w:pPr>
        <w:spacing w:after="60" w:line="252" w:lineRule="auto"/>
      </w:pPr>
      <w:r>
        <w:rPr>
          <w:rFonts w:ascii="Times New Roman" w:hAnsi="Times New Roman" w:eastAsia="Times New Roman"/>
          <w:sz w:val="22"/>
        </w:rPr>
        <w:t>Hôm nay, ngày [●] tháng [●] năm [●], tại [●], chúng tôi gồm:</w:t>
      </w:r>
    </w:p>
    <w:p>
      <w:pPr>
        <w:pStyle w:val="Heading2"/>
      </w:pPr>
      <w:r>
        <w:rPr>
          <w:rFonts w:ascii="Times New Roman" w:hAnsi="Times New Roman" w:eastAsia="Times New Roman"/>
          <w:sz w:val="22"/>
        </w:rPr>
        <w:t>BÊN A – CÁ NHÂN HỢP TÁC</w:t>
      </w:r>
    </w:p>
    <w:p>
      <w:pPr>
        <w:spacing w:after="60" w:line="252" w:lineRule="auto"/>
      </w:pPr>
      <w:r>
        <w:rPr>
          <w:rFonts w:ascii="Times New Roman" w:hAnsi="Times New Roman" w:eastAsia="Times New Roman"/>
          <w:sz w:val="22"/>
        </w:rPr>
        <w:t>Họ và tên: [●]</w:t>
      </w:r>
    </w:p>
    <w:p>
      <w:pPr>
        <w:spacing w:after="60" w:line="252" w:lineRule="auto"/>
      </w:pPr>
      <w:r>
        <w:rPr>
          <w:rFonts w:ascii="Times New Roman" w:hAnsi="Times New Roman" w:eastAsia="Times New Roman"/>
          <w:sz w:val="22"/>
        </w:rPr>
        <w:t>Ngày sinh: [●]; Số CCCD/số định danh cá nhân: [●], cấp ngày [●] tại [●]</w:t>
      </w:r>
    </w:p>
    <w:p>
      <w:pPr>
        <w:spacing w:after="60" w:line="252" w:lineRule="auto"/>
      </w:pPr>
      <w:r>
        <w:rPr>
          <w:rFonts w:ascii="Times New Roman" w:hAnsi="Times New Roman" w:eastAsia="Times New Roman"/>
          <w:sz w:val="22"/>
        </w:rPr>
        <w:t>Địa chỉ thường trú: [●]; Nơi ở hiện tại: [●]</w:t>
      </w:r>
    </w:p>
    <w:p>
      <w:pPr>
        <w:spacing w:after="60" w:line="252" w:lineRule="auto"/>
      </w:pPr>
      <w:r>
        <w:rPr>
          <w:rFonts w:ascii="Times New Roman" w:hAnsi="Times New Roman" w:eastAsia="Times New Roman"/>
          <w:sz w:val="22"/>
        </w:rPr>
        <w:t>Tình trạng hôn nhân: [●]; Điện thoại: [●]; Email: [●]</w:t>
      </w:r>
    </w:p>
    <w:p>
      <w:pPr>
        <w:spacing w:after="60" w:line="252" w:lineRule="auto"/>
      </w:pPr>
      <w:r>
        <w:rPr>
          <w:rFonts w:ascii="Times New Roman" w:hAnsi="Times New Roman" w:eastAsia="Times New Roman"/>
          <w:sz w:val="22"/>
        </w:rPr>
        <w:t>Điện thoại/email: [●]</w:t>
      </w:r>
    </w:p>
    <w:p>
      <w:pPr>
        <w:pStyle w:val="Heading2"/>
      </w:pPr>
      <w:r>
        <w:rPr>
          <w:rFonts w:ascii="Times New Roman" w:hAnsi="Times New Roman" w:eastAsia="Times New Roman"/>
          <w:sz w:val="22"/>
        </w:rPr>
        <w:t>BÊN B – CÁ NHÂN HỢP TÁC</w:t>
      </w:r>
    </w:p>
    <w:p>
      <w:pPr>
        <w:spacing w:after="60" w:line="252" w:lineRule="auto"/>
      </w:pPr>
      <w:r>
        <w:rPr>
          <w:rFonts w:ascii="Times New Roman" w:hAnsi="Times New Roman" w:eastAsia="Times New Roman"/>
          <w:sz w:val="22"/>
        </w:rPr>
        <w:t>Họ và tên: [●]</w:t>
      </w:r>
    </w:p>
    <w:p>
      <w:pPr>
        <w:spacing w:after="60" w:line="252" w:lineRule="auto"/>
      </w:pPr>
      <w:r>
        <w:rPr>
          <w:rFonts w:ascii="Times New Roman" w:hAnsi="Times New Roman" w:eastAsia="Times New Roman"/>
          <w:sz w:val="22"/>
        </w:rPr>
        <w:t>Ngày sinh: [●]; Số CCCD/số định danh cá nhân: [●], cấp ngày [●] tại [●]</w:t>
      </w:r>
    </w:p>
    <w:p>
      <w:pPr>
        <w:spacing w:after="60" w:line="252" w:lineRule="auto"/>
      </w:pPr>
      <w:r>
        <w:rPr>
          <w:rFonts w:ascii="Times New Roman" w:hAnsi="Times New Roman" w:eastAsia="Times New Roman"/>
          <w:sz w:val="22"/>
        </w:rPr>
        <w:t>Địa chỉ thường trú: [●]; Nơi ở hiện tại: [●]</w:t>
      </w:r>
    </w:p>
    <w:p>
      <w:pPr>
        <w:spacing w:after="60" w:line="252" w:lineRule="auto"/>
      </w:pPr>
      <w:r>
        <w:rPr>
          <w:rFonts w:ascii="Times New Roman" w:hAnsi="Times New Roman" w:eastAsia="Times New Roman"/>
          <w:sz w:val="22"/>
        </w:rPr>
        <w:t>Tình trạng hôn nhân: [●]; Điện thoại: [●]; Email: [●]</w:t>
      </w:r>
    </w:p>
    <w:p>
      <w:pPr>
        <w:spacing w:after="60" w:line="252" w:lineRule="auto"/>
      </w:pPr>
      <w:r>
        <w:rPr>
          <w:rFonts w:ascii="Times New Roman" w:hAnsi="Times New Roman" w:eastAsia="Times New Roman"/>
          <w:sz w:val="22"/>
        </w:rPr>
        <w:t>Điện thoại/email: [●]</w:t>
      </w:r>
    </w:p>
    <w:p>
      <w:pPr>
        <w:spacing w:after="60" w:line="252" w:lineRule="auto"/>
      </w:pPr>
      <w:r>
        <w:rPr>
          <w:rFonts w:ascii="Times New Roman" w:hAnsi="Times New Roman" w:eastAsia="Times New Roman"/>
          <w:sz w:val="22"/>
        </w:rPr>
        <w:t>Bên A và Bên B sau đây gọi riêng là “Bên”, gọi chung là “Các Bên”. Các Bên tự nguyện ký Hợp đồng này trên cơ sở Bộ luật Dân sự, Luật Đầu tư số 143/2025/QH15 (có hiệu lực từ ngày 01/03/2026), pháp luật về doanh nghiệp, thuế, kế toán, an toàn thực phẩm, phòng cháy chữa cháy và quy định pháp luật có liên quan.</w:t>
      </w:r>
    </w:p>
    <w:p>
      <w:pPr>
        <w:pStyle w:val="Heading1"/>
      </w:pPr>
      <w:r>
        <w:rPr>
          <w:rFonts w:ascii="Times New Roman" w:hAnsi="Times New Roman" w:eastAsia="Times New Roman"/>
          <w:sz w:val="22"/>
        </w:rPr>
        <w:t>ĐIỀU 1. GIẢI THÍCH VÀ NGUYÊN TẮC HỢP TÁC</w:t>
      </w:r>
    </w:p>
    <w:p>
      <w:pPr>
        <w:spacing w:after="60" w:line="252" w:lineRule="auto"/>
      </w:pPr>
      <w:r>
        <w:rPr>
          <w:rFonts w:ascii="Times New Roman" w:hAnsi="Times New Roman" w:eastAsia="Times New Roman"/>
          <w:sz w:val="22"/>
        </w:rPr>
        <w:t>1.1. “Nhà hàng/Dự án” là hoạt động chuẩn bị, khai trương và kinh doanh nhà hàng mang tên dự kiến [●], tại địa chỉ [●], kinh doanh các sản phẩm/dịch vụ: [●], cùng hoạt động phụ trợ hợp pháp được Các Bên thống nhất bằng văn bản.</w:t>
      </w:r>
    </w:p>
    <w:p>
      <w:pPr>
        <w:spacing w:after="60" w:line="252" w:lineRule="auto"/>
      </w:pPr>
      <w:r>
        <w:rPr>
          <w:rFonts w:ascii="Times New Roman" w:hAnsi="Times New Roman" w:eastAsia="Times New Roman"/>
          <w:sz w:val="22"/>
        </w:rPr>
        <w:t>1.2. “Vốn hợp tác” là tiền, tài sản hoặc quyền tài sản được mỗi Bên cam kết đóng góp theo Hợp đồng và Phụ lục 1. Việc ghi nhận vốn hợp tác không mặc nhiên làm phát sinh tư cách thành viên/cổ đông của một doanh nghiệp.</w:t>
      </w:r>
    </w:p>
    <w:p>
      <w:pPr>
        <w:spacing w:after="60" w:line="252" w:lineRule="auto"/>
      </w:pPr>
      <w:r>
        <w:rPr>
          <w:rFonts w:ascii="Times New Roman" w:hAnsi="Times New Roman" w:eastAsia="Times New Roman"/>
          <w:sz w:val="22"/>
        </w:rPr>
        <w:t>1.3. Các Bên là hai cá nhân hợp tác theo hình thức hợp đồng BCC; việc ký Hợp đồng này không tự làm phát sinh một pháp nhân mới. Các Bên thống nhất chủ thể đứng tên đăng ký kinh doanh, kê khai thuế, xuất hóa đơn (nếu thuộc trường hợp phải xuất hóa đơn), ký hợp đồng lao động và giao dịch với bên thứ ba là: [ghi rõ cá nhân/hộ kinh doanh/doanh nghiệp được lựa chọn]. Trước khi hoạt động, chủ thể này phải hoàn tất đăng ký và các thủ tục pháp luật yêu cầu. Nếu lựa chọn hộ kinh doanh, cần kiểm tra điều kiện đăng ký theo quy định hiện hành; không mặc nhiên coi hai cá nhân không cùng hộ gia đình có thể đăng ký chung một hộ kinh doanh.</w:t>
      </w:r>
    </w:p>
    <w:p>
      <w:pPr>
        <w:spacing w:after="60" w:line="252" w:lineRule="auto"/>
      </w:pPr>
      <w:r>
        <w:rPr>
          <w:rFonts w:ascii="Times New Roman" w:hAnsi="Times New Roman" w:eastAsia="Times New Roman"/>
          <w:sz w:val="22"/>
        </w:rPr>
        <w:t>1.4. Hợp đồng không thay thế giấy chứng nhận đăng ký doanh nghiệp/hộ kinh doanh, giấy phép hoặc điều kiện chuyên ngành mà pháp luật yêu cầu. Không Bên nào được nhân danh Bên kia hoặc cam kết nghĩa vụ cho Bên kia nếu chưa được ủy quyền bằng văn bản.</w:t>
      </w:r>
    </w:p>
    <w:p>
      <w:pPr>
        <w:pStyle w:val="Heading1"/>
      </w:pPr>
      <w:r>
        <w:rPr>
          <w:rFonts w:ascii="Times New Roman" w:hAnsi="Times New Roman" w:eastAsia="Times New Roman"/>
          <w:sz w:val="22"/>
        </w:rPr>
        <w:t>ĐIỀU 2. MỤC TIÊU, PHẠM VI VÀ ĐỊA ĐIỂM</w:t>
      </w:r>
    </w:p>
    <w:p>
      <w:pPr>
        <w:spacing w:after="60" w:line="252" w:lineRule="auto"/>
      </w:pPr>
      <w:r>
        <w:rPr>
          <w:rFonts w:ascii="Times New Roman" w:hAnsi="Times New Roman" w:eastAsia="Times New Roman"/>
          <w:sz w:val="22"/>
        </w:rPr>
        <w:t>2.1. Mục tiêu: cùng đầu tư, tổ chức và vận hành Nhà hàng; phân chia kết quả kinh doanh theo Hợp đồng.</w:t>
      </w:r>
    </w:p>
    <w:p>
      <w:pPr>
        <w:spacing w:after="60" w:line="252" w:lineRule="auto"/>
      </w:pPr>
      <w:r>
        <w:rPr>
          <w:rFonts w:ascii="Times New Roman" w:hAnsi="Times New Roman" w:eastAsia="Times New Roman"/>
          <w:sz w:val="22"/>
        </w:rPr>
        <w:t>2.2. Địa điểm: [địa chỉ đầy đủ]; diện tích dự kiến [●] m². Tình trạng pháp lý mặt bằng, công năng sử dụng, quyền cho thuê/cho mượn và sự chấp thuận của chủ sở hữu được ghi tại Phụ lục 2.</w:t>
      </w:r>
    </w:p>
    <w:p>
      <w:pPr>
        <w:spacing w:after="60" w:line="252" w:lineRule="auto"/>
      </w:pPr>
      <w:r>
        <w:rPr>
          <w:rFonts w:ascii="Times New Roman" w:hAnsi="Times New Roman" w:eastAsia="Times New Roman"/>
          <w:sz w:val="22"/>
        </w:rPr>
        <w:t>2.3. Thời hạn hợp tác: từ ngày [●] đến hết ngày [●], hoặc đến khi chấm dứt theo Hợp đồng. Thời hạn này phải phù hợp với thời hạn thuê/được sử dụng mặt bằng và các chấp thuận liên quan.</w:t>
      </w:r>
    </w:p>
    <w:p>
      <w:pPr>
        <w:spacing w:after="60" w:line="252" w:lineRule="auto"/>
      </w:pPr>
      <w:r>
        <w:rPr>
          <w:rFonts w:ascii="Times New Roman" w:hAnsi="Times New Roman" w:eastAsia="Times New Roman"/>
          <w:sz w:val="22"/>
        </w:rPr>
        <w:t>2.4. Kế hoạch khai trương dự kiến: [●]. Ngày khai trương chỉ được xác nhận khi đã đáp ứng các điều kiện pháp lý cần thiết và điều kiện an toàn vận hành.</w:t>
      </w:r>
    </w:p>
    <w:p>
      <w:pPr>
        <w:pStyle w:val="Heading1"/>
      </w:pPr>
      <w:r>
        <w:rPr>
          <w:rFonts w:ascii="Times New Roman" w:hAnsi="Times New Roman" w:eastAsia="Times New Roman"/>
          <w:sz w:val="22"/>
        </w:rPr>
        <w:t>ĐIỀU 3. ĐÓNG GÓP VÀ TIẾN ĐỘ GÓP VỐN</w:t>
      </w:r>
    </w:p>
    <w:p>
      <w:pPr>
        <w:spacing w:after="60" w:line="252" w:lineRule="auto"/>
      </w:pPr>
      <w:r>
        <w:rPr>
          <w:rFonts w:ascii="Times New Roman" w:hAnsi="Times New Roman" w:eastAsia="Times New Roman"/>
          <w:sz w:val="22"/>
        </w:rPr>
        <w:t>3.1. Tổng ngân sách dự kiến của Dự án: [●] đồng (bằng chữ: [●]); gồm chi phí cải tạo, thiết bị, tiền thuê/đặt cọc, nguyên liệu ban đầu, nhân sự, marketing, giấy tờ và vốn lưu động. Ngân sách chi tiết tại Phụ lục 1.</w:t>
      </w:r>
    </w:p>
    <w:p>
      <w:pPr>
        <w:spacing w:after="60" w:line="252" w:lineRule="auto"/>
      </w:pPr>
      <w:r>
        <w:rPr>
          <w:rFonts w:ascii="Times New Roman" w:hAnsi="Times New Roman" w:eastAsia="Times New Roman"/>
          <w:sz w:val="22"/>
        </w:rPr>
        <w:t>3.2. Bên A đóng góp: [●] đồng/tài sản hoặc quyền tài sản mô tả cụ thể [●], giá trị được Các Bên thống nhất là [●] đồng; tỷ lệ vốn hợp tác dự kiến [●]%. Bên B đóng góp: [●] đồng/tài sản hoặc quyền tài sản mô tả cụ thể [●], giá trị được Các Bên thống nhất là [●] đồng; tỷ lệ vốn hợp tác dự kiến [●]%. Mỗi Bên cam kết tài sản góp thuộc quyền sở hữu/quyền định đoạt hợp pháp của mình. Nếu tài sản góp là tài sản chung vợ chồng, tài sản đồng sở hữu hoặc tài sản đang bảo đảm nghĩa vụ, Bên góp phải cung cấp sự đồng ý/chấp thuận cần thiết và hồ sơ chứng minh trước khi góp.</w:t>
      </w:r>
    </w:p>
    <w:p>
      <w:pPr>
        <w:spacing w:after="60" w:line="252" w:lineRule="auto"/>
      </w:pPr>
      <w:r>
        <w:rPr>
          <w:rFonts w:ascii="Times New Roman" w:hAnsi="Times New Roman" w:eastAsia="Times New Roman"/>
          <w:sz w:val="22"/>
        </w:rPr>
        <w:t>3.3. Lịch góp vốn, tài khoản nhận, chứng từ và điều kiện giải ngân được quy định tại Phụ lục 1. Khoản góp bằng tiền được chuyển khoản với nội dung “Góp vốn hợp tác Nhà hàng [●] theo HĐ số [●]”. Khoản góp bằng tài sản phải có biên bản bàn giao, mô tả, tình trạng, chứng từ sở hữu và giá trị.</w:t>
      </w:r>
    </w:p>
    <w:p>
      <w:pPr>
        <w:spacing w:after="60" w:line="252" w:lineRule="auto"/>
      </w:pPr>
      <w:r>
        <w:rPr>
          <w:rFonts w:ascii="Times New Roman" w:hAnsi="Times New Roman" w:eastAsia="Times New Roman"/>
          <w:sz w:val="22"/>
        </w:rPr>
        <w:t>3.4. Không Bên nào được tự ý yêu cầu Bên kia góp thêm ngoài cam kết. Khoản vốn bổ sung chỉ được thực hiện khi có văn bản xác nhận số tiền, mục đích, thời hạn, cách ghi nhận và ảnh hưởng đến tỷ lệ phân chia.</w:t>
      </w:r>
    </w:p>
    <w:p>
      <w:pPr>
        <w:spacing w:after="60" w:line="252" w:lineRule="auto"/>
      </w:pPr>
      <w:r>
        <w:rPr>
          <w:rFonts w:ascii="Times New Roman" w:hAnsi="Times New Roman" w:eastAsia="Times New Roman"/>
          <w:sz w:val="22"/>
        </w:rPr>
        <w:t>3.5. Tài sản do một Bên cho Dự án mượn/thuê hoặc cung cấp dịch vụ không được coi là vốn góp, trừ khi Phụ lục 1 ghi rõ. Quyền sở hữu, quyền sử dụng và việc hoàn trả tài sản phải được xác định riêng.</w:t>
      </w:r>
    </w:p>
    <w:p>
      <w:pPr>
        <w:pStyle w:val="Heading1"/>
      </w:pPr>
      <w:r>
        <w:rPr>
          <w:rFonts w:ascii="Times New Roman" w:hAnsi="Times New Roman" w:eastAsia="Times New Roman"/>
          <w:sz w:val="22"/>
        </w:rPr>
        <w:t>ĐIỀU 4. MẶT BẰNG, TÀI SẢN VÀ CHI PHÍ ĐẦU TƯ</w:t>
      </w:r>
    </w:p>
    <w:p>
      <w:pPr>
        <w:spacing w:after="60" w:line="252" w:lineRule="auto"/>
      </w:pPr>
      <w:r>
        <w:rPr>
          <w:rFonts w:ascii="Times New Roman" w:hAnsi="Times New Roman" w:eastAsia="Times New Roman"/>
          <w:sz w:val="22"/>
        </w:rPr>
        <w:t>4.1. Bên chịu trách nhiệm thuê/đảm bảo mặt bằng: [Bên A/Bên B]. Hợp đồng thuê mặt bằng do [●] đứng tên. Bên này cam kết có quyền hợp pháp để cho thuê/đưa mặt bằng vào sử dụng và cung cấp hồ sơ cần thiết; mọi việc cho thuê lại hoặc thay đổi mục đích sử dụng phải được chủ thể có quyền chấp thuận và phù hợp pháp luật.</w:t>
      </w:r>
    </w:p>
    <w:p>
      <w:pPr>
        <w:spacing w:after="60" w:line="252" w:lineRule="auto"/>
      </w:pPr>
      <w:r>
        <w:rPr>
          <w:rFonts w:ascii="Times New Roman" w:hAnsi="Times New Roman" w:eastAsia="Times New Roman"/>
          <w:sz w:val="22"/>
        </w:rPr>
        <w:t>4.2. Tiền đặt cọc thuê mặt bằng là [●] đồng, do [●] nộp, được ghi nhận là [tài sản/chi phí/ khoản phải thu của bên nộp] và xử lý khi kết thúc hợp tác theo Phụ lục 2. Không mặc nhiên coi tiền đặt cọc là tài sản chung nếu không có thỏa thuận rõ.</w:t>
      </w:r>
    </w:p>
    <w:p>
      <w:pPr>
        <w:spacing w:after="60" w:line="252" w:lineRule="auto"/>
      </w:pPr>
      <w:r>
        <w:rPr>
          <w:rFonts w:ascii="Times New Roman" w:hAnsi="Times New Roman" w:eastAsia="Times New Roman"/>
          <w:sz w:val="22"/>
        </w:rPr>
        <w:t>4.3. Các hạng mục cải tạo, thiết bị, nội thất và tài sản mua từ nguồn tiền hợp tác phải được ghi vào sổ tài sản, kèm hóa đơn/chứng từ và xác định chủ sở hữu hoặc quyền sử dụng tại Phụ lục 3. Việc gắn cố định vào mặt bằng, tháo dỡ, hoàn trả hiện trạng và bồi hoàn khi chấm dứt phải tuân theo hợp đồng thuê và thỏa thuận với chủ mặt bằng.</w:t>
      </w:r>
    </w:p>
    <w:p>
      <w:pPr>
        <w:spacing w:after="60" w:line="252" w:lineRule="auto"/>
      </w:pPr>
      <w:r>
        <w:rPr>
          <w:rFonts w:ascii="Times New Roman" w:hAnsi="Times New Roman" w:eastAsia="Times New Roman"/>
          <w:sz w:val="22"/>
        </w:rPr>
        <w:t>4.4. Chi phí chỉ được thanh toán từ ngân sách Dự án nếu có chứng từ hợp lệ, đúng mục đích và được người có thẩm quyền phê duyệt theo Điều 6. Chi phí vượt ngân sách từ [●]% hoặc vượt [●] đồng cho một khoản phải được cả hai Bên chấp thuận trước bằng văn bản.</w:t>
      </w:r>
    </w:p>
    <w:p>
      <w:pPr>
        <w:pStyle w:val="Heading1"/>
      </w:pPr>
      <w:r>
        <w:rPr>
          <w:rFonts w:ascii="Times New Roman" w:hAnsi="Times New Roman" w:eastAsia="Times New Roman"/>
          <w:sz w:val="22"/>
        </w:rPr>
        <w:t>ĐIỀU 5. DOANH THU, KẾ TOÁN, THUẾ VÀ PHÂN CHIA KẾT QUẢ</w:t>
      </w:r>
    </w:p>
    <w:p>
      <w:pPr>
        <w:spacing w:after="60" w:line="252" w:lineRule="auto"/>
      </w:pPr>
      <w:r>
        <w:rPr>
          <w:rFonts w:ascii="Times New Roman" w:hAnsi="Times New Roman" w:eastAsia="Times New Roman"/>
          <w:sz w:val="22"/>
        </w:rPr>
        <w:t>5.1. Toàn bộ doanh thu từ bán hàng, giao hàng, nền tảng trực tuyến, sự kiện và dịch vụ liên quan phải được ghi nhận đầy đủ trên hệ thống bán hàng và sổ sách của chủ thể kinh doanh hợp pháp. Tiền thu không được sử dụng cho mục đích cá nhân hoặc trộn lẫn với chi tiêu riêng.</w:t>
      </w:r>
    </w:p>
    <w:p>
      <w:pPr>
        <w:spacing w:after="60" w:line="252" w:lineRule="auto"/>
      </w:pPr>
      <w:r>
        <w:rPr>
          <w:rFonts w:ascii="Times New Roman" w:hAnsi="Times New Roman" w:eastAsia="Times New Roman"/>
          <w:sz w:val="22"/>
        </w:rPr>
        <w:t>5.2. Chủ thể đứng tên kinh doanh, kê khai thuế, xuất hóa đơn và lưu giữ chứng từ là [●]. Các Bên phối hợp cung cấp hồ sơ và phân bổ nghĩa vụ thuế theo pháp luật. Thỏa thuận nội bộ không làm thay đổi trách nhiệm của người nộp thuế trước cơ quan nhà nước.</w:t>
      </w:r>
    </w:p>
    <w:p>
      <w:pPr>
        <w:spacing w:after="60" w:line="252" w:lineRule="auto"/>
      </w:pPr>
      <w:r>
        <w:rPr>
          <w:rFonts w:ascii="Times New Roman" w:hAnsi="Times New Roman" w:eastAsia="Times New Roman"/>
          <w:sz w:val="22"/>
        </w:rPr>
        <w:t>5.3. “Lợi nhuận có thể phân chia” là doanh thu thực tế được ghi nhận trừ (i) giá vốn nguyên liệu và hàng hóa; (ii) tiền lương, bảo hiểm và chi phí nhân sự; (iii) tiền thuê, điện nước, nền tảng giao hàng, marketing và chi phí vận hành hợp lý; (iv) thuế, phí và nghĩa vụ tài chính phải nộp; (v) khoản dự phòng/bảo trì và các khoản chi được phê duyệt; (vi) lỗ lũy kế chưa bù đắp, nếu có. Các khoản chi phải có căn cứ và chứng từ theo quy định.</w:t>
      </w:r>
    </w:p>
    <w:p>
      <w:pPr>
        <w:spacing w:after="60" w:line="252" w:lineRule="auto"/>
      </w:pPr>
      <w:r>
        <w:rPr>
          <w:rFonts w:ascii="Times New Roman" w:hAnsi="Times New Roman" w:eastAsia="Times New Roman"/>
          <w:sz w:val="22"/>
        </w:rPr>
        <w:t>5.4. Kỳ đối soát: hằng tháng, chốt số liệu trước ngày [●] của tháng kế tiếp. Báo cáo gồm doanh thu theo kênh, chi phí, tồn kho, công nợ, dòng tiền, thuế và kết quả kinh doanh. Mỗi Bên có quyền xem chứng từ hợp lý với thông báo trước [●] ngày làm việc.</w:t>
      </w:r>
    </w:p>
    <w:p>
      <w:pPr>
        <w:spacing w:after="60" w:line="252" w:lineRule="auto"/>
      </w:pPr>
      <w:r>
        <w:rPr>
          <w:rFonts w:ascii="Times New Roman" w:hAnsi="Times New Roman" w:eastAsia="Times New Roman"/>
          <w:sz w:val="22"/>
        </w:rPr>
        <w:t>5.5. Sau khi đối soát và dành đủ tiền thanh toán các khoản đến hạn, lợi nhuận có thể phân chia được chia: Bên A [●]%; Bên B [●]%. Tỷ lệ phân chia lợi nhuận có thể khác tỷ lệ đóng góp vốn nếu Các Bên ghi rõ và thống nhất tại Phụ lục 1.</w:t>
      </w:r>
    </w:p>
    <w:p>
      <w:pPr>
        <w:spacing w:after="60" w:line="252" w:lineRule="auto"/>
      </w:pPr>
      <w:r>
        <w:rPr>
          <w:rFonts w:ascii="Times New Roman" w:hAnsi="Times New Roman" w:eastAsia="Times New Roman"/>
          <w:sz w:val="22"/>
        </w:rPr>
        <w:t>5.6. Việc phân chia lợi nhuận thực hiện [hằng tháng/quý/năm] trong vòng [●] ngày làm việc kể từ ngày phê duyệt báo cáo kỳ, với điều kiện Nhà hàng còn đủ khả năng thanh toán các nghĩa vụ đến hạn. Không bên nào được bảo đảm lợi nhuận cố định hoặc hoàn vốn vô điều kiện nếu điều đó không phù hợp bản chất hợp tác và pháp luật.</w:t>
      </w:r>
    </w:p>
    <w:p>
      <w:pPr>
        <w:spacing w:after="60" w:line="252" w:lineRule="auto"/>
      </w:pPr>
      <w:r>
        <w:rPr>
          <w:rFonts w:ascii="Times New Roman" w:hAnsi="Times New Roman" w:eastAsia="Times New Roman"/>
          <w:sz w:val="22"/>
        </w:rPr>
        <w:t>5.7. Lỗ kinh doanh được phân bổ theo tỷ lệ [vốn thực góp/tỷ lệ khác ghi rõ: ●]. Các Bên không phải tự động góp bù lỗ vượt vốn cam kết, trừ khi có thỏa thuận bổ sung bằng văn bản. Quy định này không loại trừ trách nhiệm của Bên gây thiệt hại do vi phạm, gian lận hoặc lỗi của mình.</w:t>
      </w:r>
    </w:p>
    <w:p>
      <w:pPr>
        <w:pStyle w:val="Heading1"/>
      </w:pPr>
      <w:r>
        <w:rPr>
          <w:rFonts w:ascii="Times New Roman" w:hAnsi="Times New Roman" w:eastAsia="Times New Roman"/>
          <w:sz w:val="22"/>
        </w:rPr>
        <w:t>ĐIỀU 6. QUẢN LÝ, ĐIỀU HÀNH VÀ KIỂM SOÁT</w:t>
      </w:r>
    </w:p>
    <w:p>
      <w:pPr>
        <w:spacing w:after="60" w:line="252" w:lineRule="auto"/>
      </w:pPr>
      <w:r>
        <w:rPr>
          <w:rFonts w:ascii="Times New Roman" w:hAnsi="Times New Roman" w:eastAsia="Times New Roman"/>
          <w:sz w:val="22"/>
        </w:rPr>
        <w:t>6.1. Các Bên thành lập Ban điều phối gồm [●] người do Bên A cử và [●] người do Bên B cử. Ban điều phối không phải pháp nhân độc lập. Quyết định thông thường được thông qua khi có [quá bán/tỷ lệ ●] thành viên tán thành; các vấn đề trọng yếu tại khoản 6.3 cần sự chấp thuận bằng văn bản của cả hai Bên.</w:t>
      </w:r>
    </w:p>
    <w:p>
      <w:pPr>
        <w:spacing w:after="60" w:line="252" w:lineRule="auto"/>
      </w:pPr>
      <w:r>
        <w:rPr>
          <w:rFonts w:ascii="Times New Roman" w:hAnsi="Times New Roman" w:eastAsia="Times New Roman"/>
          <w:sz w:val="22"/>
        </w:rPr>
        <w:t>6.2. Người trực tiếp điều hành nhà hàng: [●]; phạm vi quyền hạn, mức lương/thù lao, KPI và cơ chế thay thế được quy định tại Phụ lục 4. Người điều hành không được tự giao dịch vượt ngân sách hoặc nhân danh Bên kia nếu không có ủy quyền.</w:t>
      </w:r>
    </w:p>
    <w:p>
      <w:pPr>
        <w:spacing w:after="60" w:line="252" w:lineRule="auto"/>
      </w:pPr>
      <w:r>
        <w:rPr>
          <w:rFonts w:ascii="Times New Roman" w:hAnsi="Times New Roman" w:eastAsia="Times New Roman"/>
          <w:sz w:val="22"/>
        </w:rPr>
        <w:t>6.3. Các vấn đề cần cả hai Bên chấp thuận trước bằng văn bản: (a) thay đổi mô hình, thương hiệu hoặc địa điểm; (b) vay, bảo lãnh, thế chấp hoặc dùng tài sản Dự án bảo đảm nghĩa vụ; (c) giao dịch với người có liên quan; (d) chi vượt ngưỡng tại khoản 4.4; (e) ký/sửa/chấm dứt hợp đồng thuê mặt bằng; (f) thay đổi tỷ lệ phân chia; (g) bán, thanh lý tài sản trọng yếu; (h) mở thêm cơ sở; (i) thay đổi chủ thể đứng tên kinh doanh; (k) chấm dứt hoạt động hoặc chuyển nhượng toàn bộ Dự án.</w:t>
      </w:r>
    </w:p>
    <w:p>
      <w:pPr>
        <w:spacing w:after="60" w:line="252" w:lineRule="auto"/>
      </w:pPr>
      <w:r>
        <w:rPr>
          <w:rFonts w:ascii="Times New Roman" w:hAnsi="Times New Roman" w:eastAsia="Times New Roman"/>
          <w:sz w:val="22"/>
        </w:rPr>
        <w:t>6.4. Tài khoản ngân hàng phục vụ hoạt động: [●], đứng tên [chủ thể hợp pháp]. Cơ chế duyệt chi: khoản đến [●] đồng do [●] phê duyệt; khoản trên ngưỡng cần [hai chữ ký/chấp thuận điện tử của cả hai Bên]. Nếu ngân hàng không hỗ trợ đồng ký, Các Bên thiết lập quy trình kiểm soát tương đương bằng quyền truy cập xem giao dịch, hạn mức và đối soát.</w:t>
      </w:r>
    </w:p>
    <w:p>
      <w:pPr>
        <w:spacing w:after="60" w:line="252" w:lineRule="auto"/>
      </w:pPr>
      <w:r>
        <w:rPr>
          <w:rFonts w:ascii="Times New Roman" w:hAnsi="Times New Roman" w:eastAsia="Times New Roman"/>
          <w:sz w:val="22"/>
        </w:rPr>
        <w:t>6.5. Hệ thống POS, tài khoản nền tảng giao hàng, email, mạng xã hội, tên miền và dữ liệu khách hàng phải được đăng ký bằng thông tin kiểm soát của chủ thể do Các Bên thống nhất; quyền truy cập quản trị được phân quyền và bàn giao khi thay đổi nhân sự hoặc chấm dứt.</w:t>
      </w:r>
    </w:p>
    <w:p>
      <w:pPr>
        <w:pStyle w:val="Heading1"/>
      </w:pPr>
      <w:r>
        <w:rPr>
          <w:rFonts w:ascii="Times New Roman" w:hAnsi="Times New Roman" w:eastAsia="Times New Roman"/>
          <w:sz w:val="22"/>
        </w:rPr>
        <w:t>ĐIỀU 7. CAM KẾT TUÂN THỦ VÀ GIẤY TỜ PHÁP LÝ</w:t>
      </w:r>
    </w:p>
    <w:p>
      <w:pPr>
        <w:spacing w:after="60" w:line="252" w:lineRule="auto"/>
      </w:pPr>
      <w:r>
        <w:rPr>
          <w:rFonts w:ascii="Times New Roman" w:hAnsi="Times New Roman" w:eastAsia="Times New Roman"/>
          <w:sz w:val="22"/>
        </w:rPr>
        <w:t>7.1. Trước khi hoạt động, Các Bên phải xác định rõ chủ thể kinh doanh và hoàn tất đăng ký kinh doanh phù hợp. Hai cá nhân không được mặc nhiên coi Hợp đồng này là giấy phép kinh doanh hoặc là căn cứ thay thế đăng ký hộ kinh doanh/doanh nghiệp. Các Bên phải kiểm tra điều kiện sử dụng mặt bằng, xây dựng/cải tạo, biển hiệu, môi trường, an toàn thực phẩm, phòng cháy chữa cháy, lao động, thuế và các điều kiện chuyên ngành có liên quan.</w:t>
      </w:r>
    </w:p>
    <w:p>
      <w:pPr>
        <w:spacing w:after="60" w:line="252" w:lineRule="auto"/>
      </w:pPr>
      <w:r>
        <w:rPr>
          <w:rFonts w:ascii="Times New Roman" w:hAnsi="Times New Roman" w:eastAsia="Times New Roman"/>
          <w:sz w:val="22"/>
        </w:rPr>
        <w:t>7.2. Bên phụ trách hồ sơ pháp lý: [●]. Bên này phải cập nhật tiến độ, cung cấp bản sao hồ sơ cho Bên kia và không được khai báo sai hoặc sử dụng giấy tờ không hợp pháp.</w:t>
      </w:r>
    </w:p>
    <w:p>
      <w:pPr>
        <w:spacing w:after="60" w:line="252" w:lineRule="auto"/>
      </w:pPr>
      <w:r>
        <w:rPr>
          <w:rFonts w:ascii="Times New Roman" w:hAnsi="Times New Roman" w:eastAsia="Times New Roman"/>
          <w:sz w:val="22"/>
        </w:rPr>
        <w:t>7.3. Nhà hàng chỉ được phục vụ rượu, thuốc lá hoặc mặt hàng/dịch vụ có điều kiện nếu đã đáp ứng đầy đủ điều kiện, giấy phép/thủ tục theo pháp luật áp dụng. Hợp đồng này không được hiểu là cho phép thực hiện hoạt động bị cấm hoặc chưa đủ điều kiện.</w:t>
      </w:r>
    </w:p>
    <w:p>
      <w:pPr>
        <w:spacing w:after="60" w:line="252" w:lineRule="auto"/>
      </w:pPr>
      <w:r>
        <w:rPr>
          <w:rFonts w:ascii="Times New Roman" w:hAnsi="Times New Roman" w:eastAsia="Times New Roman"/>
          <w:sz w:val="22"/>
        </w:rPr>
        <w:t>7.4. Các Bên cam kết nguồn tiền, tài sản góp hợp pháp; có đầy đủ năng lực và thẩm quyền ký kết; không sử dụng Dự án để thực hiện hành vi vi phạm pháp luật.</w:t>
      </w:r>
    </w:p>
    <w:p>
      <w:pPr>
        <w:pStyle w:val="Heading1"/>
      </w:pPr>
      <w:r>
        <w:rPr>
          <w:rFonts w:ascii="Times New Roman" w:hAnsi="Times New Roman" w:eastAsia="Times New Roman"/>
          <w:sz w:val="22"/>
        </w:rPr>
        <w:t>ĐIỀU 8. NHÂN SỰ, NHÀ CUNG CẤP VÀ TRÁCH NHIỆM VỚI KHÁCH HÀNG</w:t>
      </w:r>
    </w:p>
    <w:p>
      <w:pPr>
        <w:spacing w:after="60" w:line="252" w:lineRule="auto"/>
      </w:pPr>
      <w:r>
        <w:rPr>
          <w:rFonts w:ascii="Times New Roman" w:hAnsi="Times New Roman" w:eastAsia="Times New Roman"/>
          <w:sz w:val="22"/>
        </w:rPr>
        <w:t>8.1. Chủ thể ký hợp đồng lao động, trả lương, khấu trừ/kê khai thuế và thực hiện nghĩa vụ bảo hiểm cho nhân viên là [●]. Việc tuyển dụng, chấm dứt hợp đồng và mức lương phải theo pháp luật lao động và ngân sách đã duyệt.</w:t>
      </w:r>
    </w:p>
    <w:p>
      <w:pPr>
        <w:spacing w:after="60" w:line="252" w:lineRule="auto"/>
      </w:pPr>
      <w:r>
        <w:rPr>
          <w:rFonts w:ascii="Times New Roman" w:hAnsi="Times New Roman" w:eastAsia="Times New Roman"/>
          <w:sz w:val="22"/>
        </w:rPr>
        <w:t>8.2. Hợp đồng mua nguyên liệu, nhà cung cấp, giao hàng và dịch vụ được ký bởi [●]. Người đặt hàng phải kiểm tra nguồn gốc, chất lượng, hóa đơn/chứng từ và điều kiện bảo quản; hàng hóa không đạt yêu cầu phải được xử lý và ghi nhận.</w:t>
      </w:r>
    </w:p>
    <w:p>
      <w:pPr>
        <w:spacing w:after="60" w:line="252" w:lineRule="auto"/>
      </w:pPr>
      <w:r>
        <w:rPr>
          <w:rFonts w:ascii="Times New Roman" w:hAnsi="Times New Roman" w:eastAsia="Times New Roman"/>
          <w:sz w:val="22"/>
        </w:rPr>
        <w:t>8.3. Khi có khiếu nại, ngộ độc thực phẩm, tai nạn, sự cố cháy nổ hoặc yêu cầu của cơ quan nhà nước, người điều hành phải triển khai biện pháp an toàn cần thiết, bảo toàn hồ sơ và thông báo ngay cho các Bên. Trách nhiệm cuối cùng được xác định theo pháp luật, lỗi thực tế và thỏa thuận phân bổ nội bộ.</w:t>
      </w:r>
    </w:p>
    <w:p>
      <w:pPr>
        <w:pStyle w:val="Heading1"/>
      </w:pPr>
      <w:r>
        <w:rPr>
          <w:rFonts w:ascii="Times New Roman" w:hAnsi="Times New Roman" w:eastAsia="Times New Roman"/>
          <w:sz w:val="22"/>
        </w:rPr>
        <w:t>ĐIỀU 9. QUYỀN VÀ NGHĨA VỤ CỦA CÁC BÊN</w:t>
      </w:r>
    </w:p>
    <w:p>
      <w:pPr>
        <w:spacing w:after="60" w:line="252" w:lineRule="auto"/>
      </w:pPr>
      <w:r>
        <w:rPr>
          <w:rFonts w:ascii="Times New Roman" w:hAnsi="Times New Roman" w:eastAsia="Times New Roman"/>
          <w:sz w:val="22"/>
        </w:rPr>
        <w:t>9.1. Mỗi Bên có quyền: (a) nhận thông tin và báo cáo; (b) kiểm tra sổ sách, chứng từ, tài sản và tồn kho theo quy trình hợp lý; (c) nhận phần kết quả được phân chia; (d) tham gia quyết định các vấn đề thuộc thẩm quyền; (đ) yêu cầu khắc phục vi phạm và bồi thường thiệt hại theo Hợp đồng, pháp luật.</w:t>
      </w:r>
    </w:p>
    <w:p>
      <w:pPr>
        <w:spacing w:after="60" w:line="252" w:lineRule="auto"/>
      </w:pPr>
      <w:r>
        <w:rPr>
          <w:rFonts w:ascii="Times New Roman" w:hAnsi="Times New Roman" w:eastAsia="Times New Roman"/>
          <w:sz w:val="22"/>
        </w:rPr>
        <w:t>9.2. Mỗi Bên có nghĩa vụ: (a) góp đủ và đúng hạn; (b) hợp tác trung thực, không cản trở hoạt động; (c) bảo mật thông tin; (d) không rút tiền, lấy hàng hoặc sử dụng tài sản Dự án trái thẩm quyền; (đ) cung cấp hồ sơ, ký giấy tờ cần thiết trong phạm vi trách nhiệm; (e) tuân thủ pháp luật và các quyết định hợp lệ.</w:t>
      </w:r>
    </w:p>
    <w:p>
      <w:pPr>
        <w:spacing w:after="60" w:line="252" w:lineRule="auto"/>
      </w:pPr>
      <w:r>
        <w:rPr>
          <w:rFonts w:ascii="Times New Roman" w:hAnsi="Times New Roman" w:eastAsia="Times New Roman"/>
          <w:sz w:val="22"/>
        </w:rPr>
        <w:t>9.3. Bên nào trực tiếp ký giao dịch với bên thứ ba phải bảo đảm đúng thẩm quyền và công khai cho Bên kia các nghĩa vụ có thể ảnh hưởng đến Dự án. Nếu một cá nhân đứng tên hợp đồng thuê, mua hàng, tuyển dụng hoặc giao dịch với bên thứ ba, cá nhân đó có thể phải chịu trách nhiệm trực tiếp theo hợp đồng và pháp luật; thỏa thuận nội bộ về phân bổ trách nhiệm không mặc nhiên ràng buộc người thứ ba.</w:t>
      </w:r>
    </w:p>
    <w:p>
      <w:pPr>
        <w:pStyle w:val="Heading1"/>
      </w:pPr>
      <w:r>
        <w:rPr>
          <w:rFonts w:ascii="Times New Roman" w:hAnsi="Times New Roman" w:eastAsia="Times New Roman"/>
          <w:sz w:val="22"/>
        </w:rPr>
        <w:t>ĐIỀU 10. CHẬM GÓP VỐN, VI PHẠM VÀ BỒI THƯỜNG</w:t>
      </w:r>
    </w:p>
    <w:p>
      <w:pPr>
        <w:spacing w:after="60" w:line="252" w:lineRule="auto"/>
      </w:pPr>
      <w:r>
        <w:rPr>
          <w:rFonts w:ascii="Times New Roman" w:hAnsi="Times New Roman" w:eastAsia="Times New Roman"/>
          <w:sz w:val="22"/>
        </w:rPr>
        <w:t>10.1. Bên chậm góp vốn phải thông báo lý do và khắc phục trong [●] ngày kể từ khi nhận thông báo. Trên số tiền chậm góp, Bên vi phạm phải trả lãi chậm trả theo mức [●]%/năm nhưng không vượt mức pháp luật cho phép, tính theo số ngày chậm thực tế.</w:t>
      </w:r>
    </w:p>
    <w:p>
      <w:pPr>
        <w:spacing w:after="60" w:line="252" w:lineRule="auto"/>
      </w:pPr>
      <w:r>
        <w:rPr>
          <w:rFonts w:ascii="Times New Roman" w:hAnsi="Times New Roman" w:eastAsia="Times New Roman"/>
          <w:sz w:val="22"/>
        </w:rPr>
        <w:t>10.2. Nếu quá thời hạn khắc phục mà vẫn không góp đủ, Bên bị vi phạm có quyền yêu cầu thực hiện nghĩa vụ, yêu cầu bồi thường thiệt hại thực tế có chứng cứ, tạm dừng quyền biểu quyết liên quan đến khoản chưa góp nếu pháp luật và Hợp đồng cho phép, hoặc chấm dứt Hợp đồng theo Điều 12.</w:t>
      </w:r>
    </w:p>
    <w:p>
      <w:pPr>
        <w:spacing w:after="60" w:line="252" w:lineRule="auto"/>
      </w:pPr>
      <w:r>
        <w:rPr>
          <w:rFonts w:ascii="Times New Roman" w:hAnsi="Times New Roman" w:eastAsia="Times New Roman"/>
          <w:sz w:val="22"/>
        </w:rPr>
        <w:t>10.3. Phạt vi phạm chỉ áp dụng nếu được thỏa thuận rõ và trong giới hạn pháp luật áp dụng cho quan hệ cụ thể. Mức phạt (nếu có): [●]. Không sử dụng điều khoản này để tự động tước đoạt hoặc chuyển nhượng tài sản/phần quyền của Bên vi phạm mà không có thủ tục và căn cứ hợp pháp.</w:t>
      </w:r>
    </w:p>
    <w:p>
      <w:pPr>
        <w:spacing w:after="60" w:line="252" w:lineRule="auto"/>
      </w:pPr>
      <w:r>
        <w:rPr>
          <w:rFonts w:ascii="Times New Roman" w:hAnsi="Times New Roman" w:eastAsia="Times New Roman"/>
          <w:sz w:val="22"/>
        </w:rPr>
        <w:t>10.4. Bên vi phạm phải bồi thường thiệt hại thực tế, trực tiếp, hợp lý và có chứng cứ do hành vi vi phạm gây ra; Bên yêu cầu bồi thường có nghĩa vụ chứng minh thiệt hại và thực hiện biện pháp hợp lý để hạn chế tổn thất.</w:t>
      </w:r>
    </w:p>
    <w:p>
      <w:pPr>
        <w:pStyle w:val="Heading1"/>
      </w:pPr>
      <w:r>
        <w:rPr>
          <w:rFonts w:ascii="Times New Roman" w:hAnsi="Times New Roman" w:eastAsia="Times New Roman"/>
          <w:sz w:val="22"/>
        </w:rPr>
        <w:t>ĐIỀU 11. BẢO MẬT, THƯƠNG HIỆU VÀ TÀI SẢN SỞ HỮU TRÍ TUỆ</w:t>
      </w:r>
    </w:p>
    <w:p>
      <w:pPr>
        <w:spacing w:after="60" w:line="252" w:lineRule="auto"/>
      </w:pPr>
      <w:r>
        <w:rPr>
          <w:rFonts w:ascii="Times New Roman" w:hAnsi="Times New Roman" w:eastAsia="Times New Roman"/>
          <w:sz w:val="22"/>
        </w:rPr>
        <w:t>11.1. Mỗi Bên phải bảo mật công thức, quy trình, dữ liệu khách hàng, giá mua, doanh thu, tài liệu vận hành và thông tin kinh doanh không công khai, trừ trường hợp phải cung cấp theo pháp luật hoặc được Bên có quyền chấp thuận.</w:t>
      </w:r>
    </w:p>
    <w:p>
      <w:pPr>
        <w:spacing w:after="60" w:line="252" w:lineRule="auto"/>
      </w:pPr>
      <w:r>
        <w:rPr>
          <w:rFonts w:ascii="Times New Roman" w:hAnsi="Times New Roman" w:eastAsia="Times New Roman"/>
          <w:sz w:val="22"/>
        </w:rPr>
        <w:t>11.2. Chủ sở hữu/đơn vị có quyền đối với tên nhà hàng, nhãn hiệu, logo, hình ảnh, công thức và nội dung tiếp thị: [●]. Phạm vi cấp quyền sử dụng, thời hạn, lãnh thổ, phí (nếu có) và xử lý khi chấm dứt được ghi tại Phụ lục 5. Không Bên nào được đăng ký hoặc sử dụng tài sản trí tuệ của Bên kia ngoài phạm vi được phép.</w:t>
      </w:r>
    </w:p>
    <w:p>
      <w:pPr>
        <w:pStyle w:val="Heading1"/>
      </w:pPr>
      <w:r>
        <w:rPr>
          <w:rFonts w:ascii="Times New Roman" w:hAnsi="Times New Roman" w:eastAsia="Times New Roman"/>
          <w:sz w:val="22"/>
        </w:rPr>
        <w:t>ĐIỀU 12. CHUYỂN NHƯỢNG, RÚT KHỎI VÀ CHẤM DỨT HỢP TÁC</w:t>
      </w:r>
    </w:p>
    <w:p>
      <w:pPr>
        <w:spacing w:after="60" w:line="252" w:lineRule="auto"/>
      </w:pPr>
      <w:r>
        <w:rPr>
          <w:rFonts w:ascii="Times New Roman" w:hAnsi="Times New Roman" w:eastAsia="Times New Roman"/>
          <w:sz w:val="22"/>
        </w:rPr>
        <w:t>12.1. Bên muốn chuyển nhượng quyền và nghĩa vụ theo Hợp đồng phải thông báo bằng văn bản cho Bên còn lại. Việc chuyển nhượng chỉ có hiệu lực khi có sự chấp thuận bằng văn bản của Bên còn lại và hoàn tất các thủ tục pháp luật cần thiết; không làm giải phóng nghĩa vụ đã phát sinh nếu chưa có thỏa thuận rõ.</w:t>
      </w:r>
    </w:p>
    <w:p>
      <w:pPr>
        <w:spacing w:after="60" w:line="252" w:lineRule="auto"/>
      </w:pPr>
      <w:r>
        <w:rPr>
          <w:rFonts w:ascii="Times New Roman" w:hAnsi="Times New Roman" w:eastAsia="Times New Roman"/>
          <w:sz w:val="22"/>
        </w:rPr>
        <w:t>12.2. Hợp đồng chấm dứt khi: (a) hết thời hạn mà không gia hạn; (b) Các Bên thỏa thuận chấm dứt; (c) Dự án không thể tiếp tục do quyết định có hiệu lực của cơ quan có thẩm quyền hoặc mặt bằng không còn hợp pháp để sử dụng; (d) một Bên vi phạm nghiêm trọng và không khắc phục trong [●] ngày sau thông báo; (đ) trường hợp khác theo pháp luật.</w:t>
      </w:r>
    </w:p>
    <w:p>
      <w:pPr>
        <w:spacing w:after="60" w:line="252" w:lineRule="auto"/>
      </w:pPr>
      <w:r>
        <w:rPr>
          <w:rFonts w:ascii="Times New Roman" w:hAnsi="Times New Roman" w:eastAsia="Times New Roman"/>
          <w:sz w:val="22"/>
        </w:rPr>
        <w:t>12.3. Bên muốn rút khỏi hợp tác trước hạn phải thông báo trước [●] ngày và chỉ được rút theo phương án được Các Bên thống nhất bằng văn bản. Không có quyền tự động nhận lại đủ vốn ban đầu nếu Dự án đang lỗ, tài sản giảm giá hoặc còn nghĩa vụ chưa thanh toán; giá trị thanh toán được xác định theo khoản 12.5.</w:t>
      </w:r>
    </w:p>
    <w:p>
      <w:pPr>
        <w:spacing w:after="60" w:line="252" w:lineRule="auto"/>
      </w:pPr>
      <w:r>
        <w:rPr>
          <w:rFonts w:ascii="Times New Roman" w:hAnsi="Times New Roman" w:eastAsia="Times New Roman"/>
          <w:sz w:val="22"/>
        </w:rPr>
        <w:t>12.4. Khi chấm dứt, Các Bên lập biên bản chốt doanh thu, chi phí, tồn kho, tài sản, tiền mặt, tiền gửi, công nợ, thuế, lương, nghĩa vụ nhà cung cấp và nghĩa vụ với chủ mặt bằng. Hoạt động bán hàng chỉ được tiếp tục trong giai đoạn thanh lý nếu hợp pháp và được thống nhất.</w:t>
      </w:r>
    </w:p>
    <w:p>
      <w:pPr>
        <w:spacing w:after="60" w:line="252" w:lineRule="auto"/>
      </w:pPr>
      <w:r>
        <w:rPr>
          <w:rFonts w:ascii="Times New Roman" w:hAnsi="Times New Roman" w:eastAsia="Times New Roman"/>
          <w:sz w:val="22"/>
        </w:rPr>
        <w:t>12.5. Thứ tự xử lý tài sản và tiền còn lại: (i) chi phí thanh lý hợp lý; (ii) nghĩa vụ với người lao động, cơ quan nhà nước, khách hàng, nhà cung cấp và chủ nợ theo thứ tự pháp luật quy định; (iii) hoàn trả khoản vay hợp lệ của Dự án; (iv) hoàn trả tiền đặt cọc/tài sản theo quyền sở hữu và hợp đồng liên quan; (v) phần giá trị còn lại phân chia theo [tỷ lệ vốn thực góp/tỷ lệ ●]. Nếu tài sản không đủ, xử lý theo pháp luật và trách nhiệm của từng Bên; không điều khoản nào loại trừ quyền của chủ nợ hoặc bên thứ ba.</w:t>
      </w:r>
    </w:p>
    <w:p>
      <w:pPr>
        <w:spacing w:after="60" w:line="252" w:lineRule="auto"/>
      </w:pPr>
      <w:r>
        <w:rPr>
          <w:rFonts w:ascii="Times New Roman" w:hAnsi="Times New Roman" w:eastAsia="Times New Roman"/>
          <w:sz w:val="22"/>
        </w:rPr>
        <w:t>12.6. Tài sản mua từ nguồn vốn hợp tác được bán, phân chia hiện vật hoặc một Bên mua lại theo giá trị do Các Bên thống nhất; nếu không thống nhất, thuê đơn vị thẩm định độc lập hoặc tổ chức bán công khai phù hợp. Việc tháo dỡ, hoàn trả mặt bằng và xử lý tiền đặt cọc phải tuân theo hợp đồng thuê.</w:t>
      </w:r>
    </w:p>
    <w:p>
      <w:pPr>
        <w:pStyle w:val="Heading1"/>
      </w:pPr>
      <w:r>
        <w:rPr>
          <w:rFonts w:ascii="Times New Roman" w:hAnsi="Times New Roman" w:eastAsia="Times New Roman"/>
          <w:sz w:val="22"/>
        </w:rPr>
        <w:t>ĐIỀU 13. BẤT KHẢ KHÁNG</w:t>
      </w:r>
    </w:p>
    <w:p>
      <w:pPr>
        <w:spacing w:after="60" w:line="252" w:lineRule="auto"/>
      </w:pPr>
      <w:r>
        <w:rPr>
          <w:rFonts w:ascii="Times New Roman" w:hAnsi="Times New Roman" w:eastAsia="Times New Roman"/>
          <w:sz w:val="22"/>
        </w:rPr>
        <w:t>13.1. Bất khả kháng là sự kiện đáp ứng điều kiện theo pháp luật, nằm ngoài khả năng kiểm soát hợp lý của Bên bị ảnh hưởng và không thể khắc phục dù đã áp dụng biện pháp cần thiết.</w:t>
      </w:r>
    </w:p>
    <w:p>
      <w:pPr>
        <w:spacing w:after="60" w:line="252" w:lineRule="auto"/>
      </w:pPr>
      <w:r>
        <w:rPr>
          <w:rFonts w:ascii="Times New Roman" w:hAnsi="Times New Roman" w:eastAsia="Times New Roman"/>
          <w:sz w:val="22"/>
        </w:rPr>
        <w:t>13.2. Bên bị ảnh hưởng thông báo cho Bên kia trong thời gian sớm nhất, cung cấp chứng cứ phù hợp, áp dụng biện pháp giảm thiểu thiệt hại và cập nhật tình hình. Nghĩa vụ bị ảnh hưởng được gia hạn trong phạm vi và thời gian thực tế bị cản trở.</w:t>
      </w:r>
    </w:p>
    <w:p>
      <w:pPr>
        <w:spacing w:after="60" w:line="252" w:lineRule="auto"/>
      </w:pPr>
      <w:r>
        <w:rPr>
          <w:rFonts w:ascii="Times New Roman" w:hAnsi="Times New Roman" w:eastAsia="Times New Roman"/>
          <w:sz w:val="22"/>
        </w:rPr>
        <w:t>13.3. Nếu sự kiện kéo dài quá [60/90] ngày khiến mục tiêu hợp tác không thể đạt được, Các Bên họp để điều chỉnh hoặc chấm dứt Hợp đồng và quyết toán theo Điều 12. Thiếu vốn, doanh thu thấp hoặc biến động thị trường thông thường không mặc nhiên là bất khả kháng.</w:t>
      </w:r>
    </w:p>
    <w:p>
      <w:pPr>
        <w:pStyle w:val="Heading1"/>
      </w:pPr>
      <w:r>
        <w:rPr>
          <w:rFonts w:ascii="Times New Roman" w:hAnsi="Times New Roman" w:eastAsia="Times New Roman"/>
          <w:sz w:val="22"/>
        </w:rPr>
        <w:t>ĐIỀU 14. THÔNG BÁO VÀ GIẢI QUYẾT TRANH CHẤP</w:t>
      </w:r>
    </w:p>
    <w:p>
      <w:pPr>
        <w:spacing w:after="60" w:line="252" w:lineRule="auto"/>
      </w:pPr>
      <w:r>
        <w:rPr>
          <w:rFonts w:ascii="Times New Roman" w:hAnsi="Times New Roman" w:eastAsia="Times New Roman"/>
          <w:sz w:val="22"/>
        </w:rPr>
        <w:t>14.1. Thông báo được gửi đến địa chỉ/email nêu ở phần đầu Hợp đồng hoặc địa chỉ cập nhật bằng văn bản. Thông báo quan trọng về vi phạm, chấm dứt, thay đổi tài khoản hoặc chuyển nhượng phải có bằng chứng gửi/nhận.</w:t>
      </w:r>
    </w:p>
    <w:p>
      <w:pPr>
        <w:spacing w:after="60" w:line="252" w:lineRule="auto"/>
      </w:pPr>
      <w:r>
        <w:rPr>
          <w:rFonts w:ascii="Times New Roman" w:hAnsi="Times New Roman" w:eastAsia="Times New Roman"/>
          <w:sz w:val="22"/>
        </w:rPr>
        <w:t>14.2. Tranh chấp trước hết được thương lượng trong [30] ngày kể từ ngày một Bên thông báo tranh chấp. Nếu không giải quyết được, tranh chấp được đưa ra [Tòa án có thẩm quyền tại Việt Nam/Trung tâm Trọng tài Quốc tế Việt Nam (VIAC) theo Quy tắc tố tụng trọng tài của VIAC]. Các Bên chỉ chọn một phương thức và hoàn thiện thỏa thuận trọng tài rõ ràng nếu chọn trọng tài.</w:t>
      </w:r>
    </w:p>
    <w:p>
      <w:pPr>
        <w:spacing w:after="60" w:line="252" w:lineRule="auto"/>
      </w:pPr>
      <w:r>
        <w:rPr>
          <w:rFonts w:ascii="Times New Roman" w:hAnsi="Times New Roman" w:eastAsia="Times New Roman"/>
          <w:sz w:val="22"/>
        </w:rPr>
        <w:t>14.3. Luật áp dụng là pháp luật Việt Nam. Ngôn ngữ giải quyết tranh chấp là tiếng Việt, trừ khi Các Bên có thỏa thuận khác.</w:t>
      </w:r>
    </w:p>
    <w:p>
      <w:pPr>
        <w:pStyle w:val="Heading1"/>
      </w:pPr>
      <w:r>
        <w:rPr>
          <w:rFonts w:ascii="Times New Roman" w:hAnsi="Times New Roman" w:eastAsia="Times New Roman"/>
          <w:sz w:val="22"/>
        </w:rPr>
        <w:t>ĐIỀU 15. ĐIỀU KHOẢN CHUNG</w:t>
      </w:r>
    </w:p>
    <w:p>
      <w:pPr>
        <w:spacing w:after="60" w:line="252" w:lineRule="auto"/>
      </w:pPr>
      <w:r>
        <w:rPr>
          <w:rFonts w:ascii="Times New Roman" w:hAnsi="Times New Roman" w:eastAsia="Times New Roman"/>
          <w:sz w:val="22"/>
        </w:rPr>
        <w:t>15.1. Hợp đồng có hiệu lực từ ngày ký, trừ khi Các Bên ghi ngày hiệu lực khác: [●]. Các điều khoản cần điều kiện tiên quyết chỉ được thực hiện khi điều kiện đó đã hoàn thành.</w:t>
      </w:r>
    </w:p>
    <w:p>
      <w:pPr>
        <w:spacing w:after="60" w:line="252" w:lineRule="auto"/>
      </w:pPr>
      <w:r>
        <w:rPr>
          <w:rFonts w:ascii="Times New Roman" w:hAnsi="Times New Roman" w:eastAsia="Times New Roman"/>
          <w:sz w:val="22"/>
        </w:rPr>
        <w:t>15.2. Mọi sửa đổi, bổ sung phải lập thành văn bản và ký bởi người có thẩm quyền của tất cả Các Bên.</w:t>
      </w:r>
    </w:p>
    <w:p>
      <w:pPr>
        <w:spacing w:after="60" w:line="252" w:lineRule="auto"/>
      </w:pPr>
      <w:r>
        <w:rPr>
          <w:rFonts w:ascii="Times New Roman" w:hAnsi="Times New Roman" w:eastAsia="Times New Roman"/>
          <w:sz w:val="22"/>
        </w:rPr>
        <w:t>15.3. Nếu một điều khoản bị xác định vô hiệu hoặc không thể thực hiện, các điều khoản còn lại vẫn có hiệu lực trong phạm vi pháp luật cho phép; Các Bên thương lượng thay thế điều khoản đó bằng điều khoản hợp pháp có mục đích gần nhất.</w:t>
      </w:r>
    </w:p>
    <w:p>
      <w:pPr>
        <w:spacing w:after="60" w:line="252" w:lineRule="auto"/>
      </w:pPr>
      <w:r>
        <w:rPr>
          <w:rFonts w:ascii="Times New Roman" w:hAnsi="Times New Roman" w:eastAsia="Times New Roman"/>
          <w:sz w:val="22"/>
        </w:rPr>
        <w:t>15.4. Hợp đồng cùng các phụ lục và biên bản sửa đổi là toàn bộ thỏa thuận giữa Các Bên về nội dung hợp tác này.</w:t>
      </w:r>
    </w:p>
    <w:p>
      <w:pPr>
        <w:spacing w:after="60" w:line="252" w:lineRule="auto"/>
      </w:pPr>
      <w:r>
        <w:rPr>
          <w:rFonts w:ascii="Times New Roman" w:hAnsi="Times New Roman" w:eastAsia="Times New Roman"/>
          <w:sz w:val="22"/>
        </w:rPr>
        <w:t>15.5. Hợp đồng được lập thành [●] bản gốc có giá trị pháp lý như nhau; mỗi Bên giữ [●] bản.</w:t>
      </w:r>
    </w:p>
    <w:p>
      <w:pPr>
        <w:spacing w:after="60" w:line="252" w:lineRule="auto"/>
      </w:pPr>
      <w:r>
        <w:rPr>
          <w:rFonts w:ascii="Times New Roman" w:hAnsi="Times New Roman" w:eastAsia="Times New Roman"/>
          <w:sz w:val="22"/>
        </w:rPr>
      </w:r>
    </w:p>
    <w:p>
      <w:pPr>
        <w:jc w:val="center"/>
      </w:pPr>
      <w:r>
        <w:rPr>
          <w:rFonts w:ascii="Times New Roman" w:hAnsi="Times New Roman" w:eastAsia="Times New Roman"/>
          <w:b/>
          <w:sz w:val="22"/>
        </w:rPr>
        <w:t>ĐẠI DIỆN BÊN A</w:t>
      </w:r>
    </w:p>
    <w:p>
      <w:pPr>
        <w:jc w:val="center"/>
      </w:pPr>
      <w:r>
        <w:rPr>
          <w:rFonts w:ascii="Times New Roman" w:hAnsi="Times New Roman" w:eastAsia="Times New Roman"/>
          <w:b w:val="0"/>
          <w:sz w:val="20"/>
        </w:rPr>
        <w:t>(Ký, ghi rõ họ tên; đóng dấu nếu có)</w:t>
      </w:r>
    </w:p>
    <w:p>
      <w:pPr>
        <w:jc w:val="center"/>
      </w:pPr>
      <w:r>
        <w:rPr>
          <w:rFonts w:ascii="Times New Roman" w:hAnsi="Times New Roman" w:eastAsia="Times New Roman"/>
          <w:b/>
          <w:sz w:val="22"/>
        </w:rPr>
        <w:t>ĐẠI DIỆN BÊN B</w:t>
      </w:r>
    </w:p>
    <w:p>
      <w:pPr>
        <w:jc w:val="center"/>
      </w:pPr>
      <w:r>
        <w:rPr>
          <w:rFonts w:ascii="Times New Roman" w:hAnsi="Times New Roman" w:eastAsia="Times New Roman"/>
          <w:b w:val="0"/>
          <w:sz w:val="20"/>
        </w:rPr>
        <w:t>(Ký, ghi rõ họ tên; đóng dấu nếu có)</w:t>
      </w:r>
    </w:p>
    <w:p>
      <w:pPr>
        <w:pStyle w:val="Heading1"/>
      </w:pPr>
      <w:r>
        <w:rPr>
          <w:rFonts w:ascii="Times New Roman" w:hAnsi="Times New Roman" w:eastAsia="Times New Roman"/>
          <w:sz w:val="22"/>
        </w:rPr>
        <w:t>PHỤ LỤC 1 – NGÂN SÁCH, VỐN GÓP VÀ PHÂN CHIA</w:t>
      </w:r>
    </w:p>
    <w:p>
      <w:pPr>
        <w:spacing w:after="60" w:line="252" w:lineRule="auto"/>
      </w:pPr>
      <w:r>
        <w:rPr>
          <w:rFonts w:ascii="Times New Roman" w:hAnsi="Times New Roman" w:eastAsia="Times New Roman"/>
          <w:sz w:val="22"/>
        </w:rPr>
        <w:t>1. Tổng ngân sách: [●] đồng. Bảng dưới đây cần được điền đầy đủ trước khi ký:</w:t>
      </w:r>
    </w:p>
    <w:tbl>
      <w:tblPr>
        <w:tblStyle w:val="TableGrid"/>
        <w:tblW w:type="auto" w:w="0"/>
        <w:tblLook w:firstColumn="1" w:firstRow="1" w:lastColumn="0" w:lastRow="0" w:noHBand="0" w:noVBand="1" w:val="04A0"/>
      </w:tblPr>
      <w:tblGrid>
        <w:gridCol w:w="1958"/>
        <w:gridCol w:w="1958"/>
        <w:gridCol w:w="1958"/>
        <w:gridCol w:w="1958"/>
        <w:gridCol w:w="1958"/>
      </w:tblGrid>
      <w:tr>
        <w:tc>
          <w:tcPr>
            <w:tcW w:type="dxa" w:w="1958"/>
          </w:tcPr>
          <w:p>
            <w:r>
              <w:t>Nội dung</w:t>
            </w:r>
          </w:p>
        </w:tc>
        <w:tc>
          <w:tcPr>
            <w:tcW w:type="dxa" w:w="1958"/>
          </w:tcPr>
          <w:p>
            <w:r>
              <w:t>Bên A</w:t>
            </w:r>
          </w:p>
        </w:tc>
        <w:tc>
          <w:tcPr>
            <w:tcW w:type="dxa" w:w="1958"/>
          </w:tcPr>
          <w:p>
            <w:r>
              <w:t>Bên B</w:t>
            </w:r>
          </w:p>
        </w:tc>
        <w:tc>
          <w:tcPr>
            <w:tcW w:type="dxa" w:w="1958"/>
          </w:tcPr>
          <w:p>
            <w:r>
              <w:t>Tổng giá trị</w:t>
            </w:r>
          </w:p>
        </w:tc>
        <w:tc>
          <w:tcPr>
            <w:tcW w:type="dxa" w:w="1958"/>
          </w:tcPr>
          <w:p>
            <w:r>
              <w:t>Thời hạn/chứng từ</w:t>
            </w:r>
          </w:p>
        </w:tc>
      </w:tr>
      <w:tr>
        <w:tc>
          <w:tcPr>
            <w:tcW w:type="dxa" w:w="1958"/>
          </w:tcPr>
          <w:p>
            <w:r>
              <w:t>Tiền mặt/chuyển khoản</w:t>
            </w:r>
          </w:p>
        </w:tc>
        <w:tc>
          <w:tcPr>
            <w:tcW w:type="dxa" w:w="1958"/>
          </w:tcPr>
          <w:p>
            <w:r>
              <w:t>[●]</w:t>
            </w:r>
          </w:p>
        </w:tc>
        <w:tc>
          <w:tcPr>
            <w:tcW w:type="dxa" w:w="1958"/>
          </w:tcPr>
          <w:p>
            <w:r>
              <w:t>[●]</w:t>
            </w:r>
          </w:p>
        </w:tc>
        <w:tc>
          <w:tcPr>
            <w:tcW w:type="dxa" w:w="1958"/>
          </w:tcPr>
          <w:p>
            <w:r>
              <w:t>[●]</w:t>
            </w:r>
          </w:p>
        </w:tc>
        <w:tc>
          <w:tcPr>
            <w:tcW w:type="dxa" w:w="1958"/>
          </w:tcPr>
          <w:p>
            <w:r>
              <w:t>[●]</w:t>
            </w:r>
          </w:p>
        </w:tc>
      </w:tr>
      <w:tr>
        <w:tc>
          <w:tcPr>
            <w:tcW w:type="dxa" w:w="1958"/>
          </w:tcPr>
          <w:p>
            <w:r>
              <w:t>Thiết bị/nội thất</w:t>
            </w:r>
          </w:p>
        </w:tc>
        <w:tc>
          <w:tcPr>
            <w:tcW w:type="dxa" w:w="1958"/>
          </w:tcPr>
          <w:p>
            <w:r>
              <w:t>[●]</w:t>
            </w:r>
          </w:p>
        </w:tc>
        <w:tc>
          <w:tcPr>
            <w:tcW w:type="dxa" w:w="1958"/>
          </w:tcPr>
          <w:p>
            <w:r>
              <w:t>[●]</w:t>
            </w:r>
          </w:p>
        </w:tc>
        <w:tc>
          <w:tcPr>
            <w:tcW w:type="dxa" w:w="1958"/>
          </w:tcPr>
          <w:p>
            <w:r>
              <w:t>[●]</w:t>
            </w:r>
          </w:p>
        </w:tc>
        <w:tc>
          <w:tcPr>
            <w:tcW w:type="dxa" w:w="1958"/>
          </w:tcPr>
          <w:p>
            <w:r>
              <w:t>Biên bản bàn giao</w:t>
            </w:r>
          </w:p>
        </w:tc>
      </w:tr>
      <w:tr>
        <w:tc>
          <w:tcPr>
            <w:tcW w:type="dxa" w:w="1958"/>
          </w:tcPr>
          <w:p>
            <w:r>
              <w:t>Tiền đặt cọc/thuê mặt bằng</w:t>
            </w:r>
          </w:p>
        </w:tc>
        <w:tc>
          <w:tcPr>
            <w:tcW w:type="dxa" w:w="1958"/>
          </w:tcPr>
          <w:p>
            <w:r>
              <w:t>[●]</w:t>
            </w:r>
          </w:p>
        </w:tc>
        <w:tc>
          <w:tcPr>
            <w:tcW w:type="dxa" w:w="1958"/>
          </w:tcPr>
          <w:p>
            <w:r>
              <w:t>[●]</w:t>
            </w:r>
          </w:p>
        </w:tc>
        <w:tc>
          <w:tcPr>
            <w:tcW w:type="dxa" w:w="1958"/>
          </w:tcPr>
          <w:p>
            <w:r>
              <w:t>[●]</w:t>
            </w:r>
          </w:p>
        </w:tc>
        <w:tc>
          <w:tcPr>
            <w:tcW w:type="dxa" w:w="1958"/>
          </w:tcPr>
          <w:p>
            <w:r>
              <w:t>Hợp đồng thuê</w:t>
            </w:r>
          </w:p>
        </w:tc>
      </w:tr>
      <w:tr>
        <w:tc>
          <w:tcPr>
            <w:tcW w:type="dxa" w:w="1958"/>
          </w:tcPr>
          <w:p>
            <w:r>
              <w:t>Cải tạo/xây dựng</w:t>
            </w:r>
          </w:p>
        </w:tc>
        <w:tc>
          <w:tcPr>
            <w:tcW w:type="dxa" w:w="1958"/>
          </w:tcPr>
          <w:p>
            <w:r>
              <w:t>[●]</w:t>
            </w:r>
          </w:p>
        </w:tc>
        <w:tc>
          <w:tcPr>
            <w:tcW w:type="dxa" w:w="1958"/>
          </w:tcPr>
          <w:p>
            <w:r>
              <w:t>[●]</w:t>
            </w:r>
          </w:p>
        </w:tc>
        <w:tc>
          <w:tcPr>
            <w:tcW w:type="dxa" w:w="1958"/>
          </w:tcPr>
          <w:p>
            <w:r>
              <w:t>[●]</w:t>
            </w:r>
          </w:p>
        </w:tc>
        <w:tc>
          <w:tcPr>
            <w:tcW w:type="dxa" w:w="1958"/>
          </w:tcPr>
          <w:p>
            <w:r>
              <w:t>Hóa đơn/chứng từ</w:t>
            </w:r>
          </w:p>
        </w:tc>
      </w:tr>
      <w:tr>
        <w:tc>
          <w:tcPr>
            <w:tcW w:type="dxa" w:w="1958"/>
          </w:tcPr>
          <w:p>
            <w:r>
              <w:t>Vốn lưu động</w:t>
            </w:r>
          </w:p>
        </w:tc>
        <w:tc>
          <w:tcPr>
            <w:tcW w:type="dxa" w:w="1958"/>
          </w:tcPr>
          <w:p>
            <w:r>
              <w:t>[●]</w:t>
            </w:r>
          </w:p>
        </w:tc>
        <w:tc>
          <w:tcPr>
            <w:tcW w:type="dxa" w:w="1958"/>
          </w:tcPr>
          <w:p>
            <w:r>
              <w:t>[●]</w:t>
            </w:r>
          </w:p>
        </w:tc>
        <w:tc>
          <w:tcPr>
            <w:tcW w:type="dxa" w:w="1958"/>
          </w:tcPr>
          <w:p>
            <w:r>
              <w:t>[●]</w:t>
            </w:r>
          </w:p>
        </w:tc>
        <w:tc>
          <w:tcPr>
            <w:tcW w:type="dxa" w:w="1958"/>
          </w:tcPr>
          <w:p>
            <w:r>
              <w:t>[●]</w:t>
            </w:r>
          </w:p>
        </w:tc>
      </w:tr>
      <w:tr>
        <w:tc>
          <w:tcPr>
            <w:tcW w:type="dxa" w:w="1958"/>
          </w:tcPr>
          <w:p>
            <w:r>
              <w:t>Tổng cộng</w:t>
            </w:r>
          </w:p>
        </w:tc>
        <w:tc>
          <w:tcPr>
            <w:tcW w:type="dxa" w:w="1958"/>
          </w:tcPr>
          <w:p>
            <w:r>
              <w:t>[●]</w:t>
            </w:r>
          </w:p>
        </w:tc>
        <w:tc>
          <w:tcPr>
            <w:tcW w:type="dxa" w:w="1958"/>
          </w:tcPr>
          <w:p>
            <w:r>
              <w:t>[●]</w:t>
            </w:r>
          </w:p>
        </w:tc>
        <w:tc>
          <w:tcPr>
            <w:tcW w:type="dxa" w:w="1958"/>
          </w:tcPr>
          <w:p>
            <w:r>
              <w:t>[●]</w:t>
            </w:r>
          </w:p>
        </w:tc>
        <w:tc>
          <w:tcPr>
            <w:tcW w:type="dxa" w:w="1958"/>
          </w:tcPr>
          <w:p>
            <w:r/>
          </w:p>
        </w:tc>
      </w:tr>
    </w:tbl>
    <w:p>
      <w:pPr>
        <w:spacing w:after="60" w:line="252" w:lineRule="auto"/>
      </w:pPr>
      <w:r>
        <w:rPr>
          <w:rFonts w:ascii="Times New Roman" w:hAnsi="Times New Roman" w:eastAsia="Times New Roman"/>
          <w:sz w:val="22"/>
        </w:rPr>
        <w:t>2. Tỷ lệ vốn hợp tác: Bên A [●]%; Bên B [●]%. Tỷ lệ phân chia lợi nhuận: Bên A [●]%; Bên B [●]%. Tỷ lệ chịu lỗ: [●].</w:t>
      </w:r>
    </w:p>
    <w:p>
      <w:pPr>
        <w:spacing w:after="60" w:line="252" w:lineRule="auto"/>
      </w:pPr>
      <w:r>
        <w:rPr>
          <w:rFonts w:ascii="Times New Roman" w:hAnsi="Times New Roman" w:eastAsia="Times New Roman"/>
          <w:sz w:val="22"/>
        </w:rPr>
        <w:t>3. Lịch góp vốn: đợt 1 [●] đồng ngày [●]; đợt 2 [●] đồng ngày [●]; đợt 3 [●] đồng ngày [●]. Điều kiện giải ngân: [●].</w:t>
      </w:r>
    </w:p>
    <w:p>
      <w:pPr>
        <w:pStyle w:val="Heading2"/>
      </w:pPr>
      <w:r>
        <w:rPr>
          <w:rFonts w:ascii="Times New Roman" w:hAnsi="Times New Roman" w:eastAsia="Times New Roman"/>
          <w:sz w:val="22"/>
        </w:rPr>
        <w:t>PHỤ LỤC 2 – MẶT BẰNG VÀ TIỀN ĐẶT CỌC</w:t>
      </w:r>
    </w:p>
    <w:p>
      <w:pPr>
        <w:spacing w:after="60" w:line="252" w:lineRule="auto"/>
      </w:pPr>
      <w:r>
        <w:rPr>
          <w:rFonts w:ascii="Times New Roman" w:hAnsi="Times New Roman" w:eastAsia="Times New Roman"/>
          <w:sz w:val="22"/>
        </w:rPr>
        <w:t>Chủ sở hữu/cho thuê: [●]. Người đứng tên hợp đồng thuê: [●]. Thời hạn thuê: [●]. Tiền thuê, điều chỉnh giá, tiền đặt cọc: [●]. Quyền cải tạo/biển hiệu/cho thuê lại: [●]. Phương án hoàn trả mặt bằng và xử lý cọc khi chấm dứt: [●]. Hồ sơ chứng minh quyền cho thuê/đồng ý của chủ sở hữu đính kèm: [●].</w:t>
      </w:r>
    </w:p>
    <w:p>
      <w:pPr>
        <w:pStyle w:val="Heading2"/>
      </w:pPr>
      <w:r>
        <w:rPr>
          <w:rFonts w:ascii="Times New Roman" w:hAnsi="Times New Roman" w:eastAsia="Times New Roman"/>
          <w:sz w:val="22"/>
        </w:rPr>
        <w:t>PHỤ LỤC 3 – DANH MỤC TÀI SẢN VÀ QUYỀN SỞ HỮU</w:t>
      </w:r>
    </w:p>
    <w:p>
      <w:pPr>
        <w:spacing w:after="60" w:line="252" w:lineRule="auto"/>
      </w:pPr>
      <w:r>
        <w:rPr>
          <w:rFonts w:ascii="Times New Roman" w:hAnsi="Times New Roman" w:eastAsia="Times New Roman"/>
          <w:sz w:val="22"/>
        </w:rPr>
        <w:t>Liệt kê từng tài sản, mã/số serial, tình trạng, giá trị, nguồn tiền, chủ sở hữu, nơi lưu giữ và phương án xử lý khi chấm dứt: [●].</w:t>
      </w:r>
    </w:p>
    <w:p>
      <w:pPr>
        <w:pStyle w:val="Heading2"/>
      </w:pPr>
      <w:r>
        <w:rPr>
          <w:rFonts w:ascii="Times New Roman" w:hAnsi="Times New Roman" w:eastAsia="Times New Roman"/>
          <w:sz w:val="22"/>
        </w:rPr>
        <w:t>PHỤ LỤC 4 – PHÂN QUYỀN ĐIỀU HÀNH VÀ HẠN MỨC CHI</w:t>
      </w:r>
    </w:p>
    <w:p>
      <w:pPr>
        <w:spacing w:after="60" w:line="252" w:lineRule="auto"/>
      </w:pPr>
      <w:r>
        <w:rPr>
          <w:rFonts w:ascii="Times New Roman" w:hAnsi="Times New Roman" w:eastAsia="Times New Roman"/>
          <w:sz w:val="22"/>
        </w:rPr>
        <w:t>Người điều hành: [●]. Hạn mức tự quyết: [●] đồng/giao dịch. Hạn mức cần hai Bên duyệt: [●]. Quy trình duyệt nhà cung cấp, tuyển dụng, giảm giá, hoàn tiền, mua hàng, kiểm kê và xử lý khiếu nại: [●].</w:t>
      </w:r>
    </w:p>
    <w:p>
      <w:pPr>
        <w:pStyle w:val="Heading2"/>
      </w:pPr>
      <w:r>
        <w:rPr>
          <w:rFonts w:ascii="Times New Roman" w:hAnsi="Times New Roman" w:eastAsia="Times New Roman"/>
          <w:sz w:val="22"/>
        </w:rPr>
        <w:t>PHỤ LỤC 5 – THƯƠNG HIỆU VÀ TÀI KHOẢN SỐ</w:t>
      </w:r>
    </w:p>
    <w:p>
      <w:pPr>
        <w:spacing w:after="60" w:line="252" w:lineRule="auto"/>
      </w:pPr>
      <w:r>
        <w:rPr>
          <w:rFonts w:ascii="Times New Roman" w:hAnsi="Times New Roman" w:eastAsia="Times New Roman"/>
          <w:sz w:val="22"/>
        </w:rPr>
        <w:t>Tên/nhãn hiệu/logo thuộc quyền của: [●]. Quyền sử dụng trong thời gian hợp tác: [●]. Chủ tài khoản POS, giao hàng, mạng xã hội, email và tên miền: [●]. Quy trình bàn giao, đổi mật khẩu và xử lý dữ liệu khi chấm dứt: [●].</w:t>
      </w:r>
    </w:p>
    <w:p>
      <w:pPr>
        <w:pStyle w:val="Heading1"/>
      </w:pPr>
      <w:r>
        <w:rPr>
          <w:rFonts w:ascii="Times New Roman" w:hAnsi="Times New Roman" w:eastAsia="Times New Roman"/>
          <w:sz w:val="22"/>
        </w:rPr>
        <w:t>CHECKLIST TRƯỚC KHI KÝ (XÓA TRANG NÀY KHI DÙNG BẢN KÝ)</w:t>
      </w:r>
    </w:p>
    <w:p>
      <w:pPr>
        <w:pStyle w:val="ListBullet"/>
        <w:spacing w:after="40"/>
      </w:pPr>
      <w:r>
        <w:rPr>
          <w:rFonts w:ascii="Times New Roman" w:hAnsi="Times New Roman" w:eastAsia="Times New Roman"/>
          <w:sz w:val="22"/>
        </w:rPr>
        <w:t>Điền đủ tỷ lệ vốn, tỷ lệ chia lợi nhuận, tỷ lệ chịu lỗ, lịch góp vốn và cách xử lý góp thiếu.</w:t>
      </w:r>
    </w:p>
    <w:p>
      <w:pPr>
        <w:pStyle w:val="ListBullet"/>
        <w:spacing w:after="40"/>
      </w:pPr>
      <w:r>
        <w:rPr>
          <w:rFonts w:ascii="Times New Roman" w:hAnsi="Times New Roman" w:eastAsia="Times New Roman"/>
          <w:sz w:val="22"/>
        </w:rPr>
        <w:t>Xác định rõ ai là chủ thể đứng tên đăng ký kinh doanh, xuất hóa đơn, ký hợp đồng lao động và kê khai thuế; BCC tự nó không phải pháp nhân.</w:t>
      </w:r>
    </w:p>
    <w:p>
      <w:pPr>
        <w:pStyle w:val="ListBullet"/>
        <w:spacing w:after="40"/>
      </w:pPr>
      <w:r>
        <w:rPr>
          <w:rFonts w:ascii="Times New Roman" w:hAnsi="Times New Roman" w:eastAsia="Times New Roman"/>
          <w:sz w:val="22"/>
        </w:rPr>
        <w:t>Kiểm tra quyền cho thuê và mục đích sử dụng mặt bằng; ghi rõ bên nộp và người được nhận lại tiền đặt cọc.</w:t>
      </w:r>
    </w:p>
    <w:p>
      <w:pPr>
        <w:pStyle w:val="ListBullet"/>
        <w:spacing w:after="40"/>
      </w:pPr>
      <w:r>
        <w:rPr>
          <w:rFonts w:ascii="Times New Roman" w:hAnsi="Times New Roman" w:eastAsia="Times New Roman"/>
          <w:sz w:val="22"/>
        </w:rPr>
        <w:t>Lập danh mục thiết bị/cải tạo, chứng từ mua sắm và chủ sở hữu khi kết thúc hợp tác.</w:t>
      </w:r>
    </w:p>
    <w:p>
      <w:pPr>
        <w:pStyle w:val="ListBullet"/>
        <w:spacing w:after="40"/>
      </w:pPr>
      <w:r>
        <w:rPr>
          <w:rFonts w:ascii="Times New Roman" w:hAnsi="Times New Roman" w:eastAsia="Times New Roman"/>
          <w:sz w:val="22"/>
        </w:rPr>
        <w:t>Chốt cơ chế kiểm soát tài khoản ngân hàng, tiền mặt, POS, nền tảng giao hàng, tồn kho và quyền xem chứng từ.</w:t>
      </w:r>
    </w:p>
    <w:p>
      <w:pPr>
        <w:pStyle w:val="ListBullet"/>
        <w:spacing w:after="40"/>
      </w:pPr>
      <w:r>
        <w:rPr>
          <w:rFonts w:ascii="Times New Roman" w:hAnsi="Times New Roman" w:eastAsia="Times New Roman"/>
          <w:sz w:val="22"/>
        </w:rPr>
        <w:t>Rà soát yêu cầu an toàn thực phẩm, phòng cháy chữa cháy, lao động, thuế và các điều kiện chuyên ngành theo đúng địa điểm, quy mô, loại hình thực tế.</w:t>
      </w:r>
    </w:p>
    <w:p>
      <w:pPr>
        <w:pStyle w:val="ListBullet"/>
        <w:spacing w:after="40"/>
      </w:pPr>
      <w:r>
        <w:rPr>
          <w:rFonts w:ascii="Times New Roman" w:hAnsi="Times New Roman" w:eastAsia="Times New Roman"/>
          <w:sz w:val="22"/>
        </w:rPr>
        <w:t>Nếu sử dụng tài sản chung vợ chồng, tài sản đồng sở hữu hoặc tài sản đang thế chấp/bảo đảm, cần xác minh quyền định đoạt và lấy chấp thuận cần thiết trước khi ký hoặc góp tài sản.</w:t>
      </w:r>
    </w:p>
    <w:p>
      <w:r>
        <w:rPr>
          <w:rFonts w:ascii="Times New Roman" w:hAnsi="Times New Roman" w:eastAsia="Times New Roman"/>
          <w:sz w:val="22"/>
        </w:rPr>
        <w:t>Xác định rõ chủ thể đứng tên đăng ký kinh doanh; nếu một cá nhân đứng tên, ghi rõ quyền kiểm soát, trách nhiệm, quyền tiếp cận tài khoản và cách bàn giao khi chấm dứt.</w:t>
      </w:r>
    </w:p>
    <w:p>
      <w:r>
        <w:rPr>
          <w:rFonts w:ascii="Times New Roman" w:hAnsi="Times New Roman" w:eastAsia="Times New Roman"/>
          <w:sz w:val="22"/>
        </w:rPr>
        <w:t>Ghi rõ họ tên, số định danh cá nhân, địa chỉ và thông tin liên hệ của từng Bên; kiểm tra tình trạng hôn nhân và nguồn gốc tài sản góp.</w:t>
      </w:r>
    </w:p>
    <w:p>
      <w:pPr>
        <w:pStyle w:val="ListBullet"/>
        <w:spacing w:after="40"/>
      </w:pPr>
      <w:r>
        <w:rPr>
          <w:rFonts w:ascii="Times New Roman" w:hAnsi="Times New Roman" w:eastAsia="Times New Roman"/>
          <w:sz w:val="22"/>
        </w:rPr>
        <w:t>Chọn rõ Tòa án hoặc trọng tài; nếu chọn trọng tài, kiểm tra điều khoản thỏa thuận trọng tài và tên trung tâm chính xác.</w:t>
      </w:r>
    </w:p>
    <w:p>
      <w:pPr>
        <w:pStyle w:val="ListBullet"/>
        <w:spacing w:after="40"/>
      </w:pPr>
      <w:r>
        <w:rPr>
          <w:rFonts w:ascii="Times New Roman" w:hAnsi="Times New Roman" w:eastAsia="Times New Roman"/>
          <w:sz w:val="22"/>
        </w:rPr>
        <w:t>Điều chỉnh điều khoản phạt vi phạm theo bản chất giao dịch và luật áp dụng; không giữ máy móc mức phạt từ mẫu tham khảo.</w:t>
      </w:r>
    </w:p>
    <w:p>
      <w:pPr>
        <w:pStyle w:val="ListBullet"/>
        <w:spacing w:after="40"/>
      </w:pPr>
      <w:r>
        <w:rPr>
          <w:rFonts w:ascii="Times New Roman" w:hAnsi="Times New Roman" w:eastAsia="Times New Roman"/>
          <w:sz w:val="22"/>
        </w:rPr>
        <w:t>Nên để luật sư rà soát bản đã điền thông tin, đặc biệt nếu một bên đứng tên thuê/kinh doanh còn bên kia chỉ góp vốn.</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